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firstLine="708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Міністерство фінансів України на підставі постанови Кабінету Міністрів України від </w:t>
      </w:r>
      <w:r>
        <w:rPr>
          <w:color w:val="000000"/>
          <w:u w:color="000000"/>
          <w:rtl w:val="0"/>
        </w:rPr>
        <w:t>31.01.2001</w:t>
      </w:r>
      <w:r>
        <w:rPr>
          <w:color w:val="000000"/>
          <w:u w:color="000000"/>
          <w:rtl w:val="0"/>
        </w:rPr>
        <w:t>р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 xml:space="preserve">№ </w:t>
      </w:r>
      <w:r>
        <w:rPr>
          <w:color w:val="000000"/>
          <w:u w:color="000000"/>
          <w:rtl w:val="0"/>
        </w:rPr>
        <w:t xml:space="preserve">80 </w:t>
      </w:r>
      <w:r>
        <w:rPr>
          <w:color w:val="000000"/>
          <w:u w:color="000000"/>
          <w:rtl w:val="0"/>
        </w:rPr>
        <w:t>„Про випуск облігацій внутрішніх державних позик” оголошує планове проведення розміщення короткострокових та середньострокових державних облігацій номінованих в іноземній валюті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 xml:space="preserve">які відбудуться </w:t>
      </w:r>
      <w:r>
        <w:rPr>
          <w:color w:val="000000"/>
          <w:u w:color="000000"/>
          <w:rtl w:val="0"/>
          <w:lang w:val="en-US"/>
        </w:rPr>
        <w:t xml:space="preserve">13 </w:t>
      </w:r>
      <w:r>
        <w:rPr>
          <w:color w:val="000000"/>
          <w:u w:color="000000"/>
          <w:rtl w:val="0"/>
          <w:lang w:val="ru-RU"/>
        </w:rPr>
        <w:t>грудня</w:t>
      </w:r>
      <w:r>
        <w:rPr>
          <w:color w:val="000000"/>
          <w:u w:color="000000"/>
          <w:rtl w:val="0"/>
          <w:lang w:val="en-US"/>
        </w:rPr>
        <w:t xml:space="preserve"> </w:t>
      </w:r>
      <w:r>
        <w:rPr>
          <w:color w:val="000000"/>
          <w:u w:color="000000"/>
          <w:rtl w:val="0"/>
        </w:rPr>
        <w:t xml:space="preserve">2016 </w:t>
      </w:r>
      <w:r>
        <w:rPr>
          <w:color w:val="000000"/>
          <w:u w:color="000000"/>
          <w:rtl w:val="0"/>
        </w:rPr>
        <w:t>року за наступними показниками</w:t>
      </w:r>
      <w:r>
        <w:rPr>
          <w:color w:val="000000"/>
          <w:u w:color="000000"/>
          <w:rtl w:val="0"/>
        </w:rPr>
        <w:t>:</w:t>
      </w: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firstLine="708"/>
        <w:jc w:val="both"/>
        <w:rPr>
          <w:color w:val="000000"/>
          <w:u w:color="000000"/>
        </w:rPr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firstLine="708"/>
        <w:jc w:val="both"/>
        <w:rPr>
          <w:color w:val="000000"/>
          <w:sz w:val="22"/>
          <w:szCs w:val="22"/>
          <w:u w:color="000000"/>
        </w:rPr>
      </w:pPr>
    </w:p>
    <w:tbl>
      <w:tblPr>
        <w:tblW w:w="10417" w:type="dxa"/>
        <w:jc w:val="center"/>
        <w:tblInd w:w="17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0"/>
        <w:gridCol w:w="1418"/>
        <w:gridCol w:w="1418"/>
        <w:gridCol w:w="1417"/>
        <w:gridCol w:w="1418"/>
        <w:gridCol w:w="1418"/>
        <w:gridCol w:w="1418"/>
      </w:tblGrid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Номер </w:t>
            </w:r>
            <w:r>
              <w:rPr>
                <w:sz w:val="14"/>
                <w:szCs w:val="14"/>
                <w:rtl w:val="0"/>
              </w:rPr>
              <w:t>розміщення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22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5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22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22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22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22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Код облігацій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UA400019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6034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UA400019538</w:t>
            </w: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розміщення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(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Ном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 ін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дол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США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(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Ном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 ін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дол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США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4"/>
                <w:szCs w:val="14"/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(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Ном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 ін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дол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 xml:space="preserve">.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США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Термін обігу </w:t>
            </w:r>
            <w:r>
              <w:rPr>
                <w:sz w:val="14"/>
                <w:szCs w:val="14"/>
                <w:rtl w:val="0"/>
                <w:lang w:val="ru-RU"/>
              </w:rPr>
              <w:t>(</w:t>
            </w:r>
            <w:r>
              <w:rPr>
                <w:sz w:val="14"/>
                <w:szCs w:val="14"/>
                <w:rtl w:val="0"/>
                <w:lang w:val="ru-RU"/>
              </w:rPr>
              <w:t>дн</w:t>
            </w:r>
            <w:r>
              <w:rPr>
                <w:sz w:val="14"/>
                <w:szCs w:val="14"/>
                <w:rtl w:val="0"/>
                <w:lang w:val="ru-RU"/>
              </w:rPr>
              <w:t>.)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175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280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357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511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539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588</w:t>
            </w:r>
          </w:p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Кількість виставлених облігацій </w:t>
            </w:r>
            <w:r>
              <w:rPr>
                <w:sz w:val="14"/>
                <w:szCs w:val="14"/>
                <w:rtl w:val="0"/>
                <w:lang w:val="ru-RU"/>
              </w:rPr>
              <w:t>(</w:t>
            </w:r>
            <w:r>
              <w:rPr>
                <w:sz w:val="14"/>
                <w:szCs w:val="14"/>
                <w:rtl w:val="0"/>
                <w:lang w:val="ru-RU"/>
              </w:rPr>
              <w:t>шт</w:t>
            </w:r>
            <w:r>
              <w:rPr>
                <w:sz w:val="14"/>
                <w:szCs w:val="14"/>
                <w:rtl w:val="0"/>
                <w:lang w:val="ru-RU"/>
              </w:rPr>
              <w:t>.)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Дата проведення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13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13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13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13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13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13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Дата оплати за придбані облігації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14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14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14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14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14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14</w:t>
            </w:r>
            <w:r>
              <w:rPr>
                <w:sz w:val="14"/>
                <w:szCs w:val="14"/>
                <w:rtl w:val="0"/>
              </w:rPr>
              <w:t>.12.2016</w:t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Термін погашення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07</w:t>
            </w:r>
            <w:r>
              <w:rPr>
                <w:sz w:val="14"/>
                <w:szCs w:val="14"/>
                <w:rtl w:val="0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6</w:t>
            </w:r>
            <w:r>
              <w:rPr>
                <w:sz w:val="14"/>
                <w:szCs w:val="14"/>
                <w:rtl w:val="0"/>
              </w:rPr>
              <w:t>.2017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20</w:t>
            </w:r>
            <w:r>
              <w:rPr>
                <w:sz w:val="14"/>
                <w:szCs w:val="14"/>
                <w:rtl w:val="0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9</w:t>
            </w:r>
            <w:r>
              <w:rPr>
                <w:sz w:val="14"/>
                <w:szCs w:val="14"/>
                <w:rtl w:val="0"/>
              </w:rPr>
              <w:t>.2017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06</w:t>
            </w:r>
            <w:r>
              <w:rPr>
                <w:sz w:val="14"/>
                <w:szCs w:val="14"/>
                <w:rtl w:val="0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12</w:t>
            </w:r>
            <w:r>
              <w:rPr>
                <w:sz w:val="14"/>
                <w:szCs w:val="14"/>
                <w:rtl w:val="0"/>
              </w:rPr>
              <w:t>.2017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09</w:t>
            </w:r>
            <w:r>
              <w:rPr>
                <w:sz w:val="14"/>
                <w:szCs w:val="14"/>
                <w:rtl w:val="0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05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</w:rPr>
              <w:t>20</w:t>
            </w:r>
            <w:r>
              <w:rPr>
                <w:sz w:val="14"/>
                <w:szCs w:val="14"/>
                <w:rtl w:val="0"/>
                <w:lang w:val="en-US"/>
              </w:rPr>
              <w:t>18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06</w:t>
            </w:r>
            <w:r>
              <w:rPr>
                <w:sz w:val="14"/>
                <w:szCs w:val="14"/>
                <w:rtl w:val="0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06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</w:rPr>
              <w:t>20</w:t>
            </w:r>
            <w:r>
              <w:rPr>
                <w:sz w:val="14"/>
                <w:szCs w:val="14"/>
                <w:rtl w:val="0"/>
                <w:lang w:val="en-US"/>
              </w:rPr>
              <w:t>18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en-US"/>
              </w:rPr>
              <w:t>25</w:t>
            </w:r>
            <w:r>
              <w:rPr>
                <w:sz w:val="14"/>
                <w:szCs w:val="14"/>
                <w:rtl w:val="0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07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</w:rPr>
              <w:t>20</w:t>
            </w:r>
            <w:r>
              <w:rPr>
                <w:sz w:val="14"/>
                <w:szCs w:val="14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3471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Терміни сплати відсотків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4"/>
                <w:szCs w:val="14"/>
                <w:rtl w:val="0"/>
              </w:rPr>
              <w:t>-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0"/>
                <w:lang w:val="en-US"/>
              </w:rPr>
              <w:t>10</w:t>
            </w:r>
            <w:r>
              <w:rPr>
                <w:sz w:val="14"/>
                <w:szCs w:val="14"/>
                <w:rtl w:val="0"/>
                <w:lang w:val="ru-RU"/>
              </w:rPr>
              <w:t>.05.2017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en-US"/>
              </w:rPr>
              <w:t>08</w:t>
            </w:r>
            <w:r>
              <w:rPr>
                <w:sz w:val="14"/>
                <w:szCs w:val="14"/>
                <w:rtl w:val="0"/>
                <w:lang w:val="ru-RU"/>
              </w:rPr>
              <w:t>.11.2017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4"/>
                <w:szCs w:val="14"/>
                <w:rtl w:val="0"/>
                <w:lang w:val="en-US"/>
              </w:rPr>
              <w:t>09</w:t>
            </w:r>
            <w:r>
              <w:rPr>
                <w:sz w:val="14"/>
                <w:szCs w:val="14"/>
                <w:rtl w:val="0"/>
                <w:lang w:val="ru-RU"/>
              </w:rPr>
              <w:t>.05.2018</w:t>
            </w:r>
            <w:r>
              <w:rPr>
                <w:sz w:val="14"/>
                <w:szCs w:val="14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0"/>
                <w:lang w:val="en-US"/>
              </w:rPr>
              <w:t>07</w:t>
            </w:r>
            <w:r>
              <w:rPr>
                <w:sz w:val="14"/>
                <w:szCs w:val="14"/>
                <w:rtl w:val="0"/>
                <w:lang w:val="ru-RU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6</w:t>
            </w:r>
            <w:r>
              <w:rPr>
                <w:sz w:val="14"/>
                <w:szCs w:val="14"/>
                <w:rtl w:val="0"/>
                <w:lang w:val="ru-RU"/>
              </w:rPr>
              <w:t>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en-US"/>
              </w:rPr>
              <w:t>06</w:t>
            </w:r>
            <w:r>
              <w:rPr>
                <w:sz w:val="14"/>
                <w:szCs w:val="14"/>
                <w:rtl w:val="0"/>
                <w:lang w:val="ru-RU"/>
              </w:rPr>
              <w:t>.1</w:t>
            </w:r>
            <w:r>
              <w:rPr>
                <w:sz w:val="14"/>
                <w:szCs w:val="14"/>
                <w:rtl w:val="0"/>
                <w:lang w:val="en-US"/>
              </w:rPr>
              <w:t>2</w:t>
            </w:r>
            <w:r>
              <w:rPr>
                <w:sz w:val="14"/>
                <w:szCs w:val="14"/>
                <w:rtl w:val="0"/>
                <w:lang w:val="ru-RU"/>
              </w:rPr>
              <w:t>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4"/>
                <w:szCs w:val="14"/>
                <w:rtl w:val="0"/>
                <w:lang w:val="en-US"/>
              </w:rPr>
              <w:t>06</w:t>
            </w:r>
            <w:r>
              <w:rPr>
                <w:sz w:val="14"/>
                <w:szCs w:val="14"/>
                <w:rtl w:val="0"/>
                <w:lang w:val="ru-RU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6</w:t>
            </w:r>
            <w:r>
              <w:rPr>
                <w:sz w:val="14"/>
                <w:szCs w:val="14"/>
                <w:rtl w:val="0"/>
                <w:lang w:val="ru-RU"/>
              </w:rPr>
              <w:t>.2018</w:t>
            </w:r>
            <w:r>
              <w:rPr>
                <w:sz w:val="14"/>
                <w:szCs w:val="14"/>
              </w:rPr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0"/>
                <w:lang w:val="ru-RU"/>
              </w:rPr>
              <w:t>2</w:t>
            </w:r>
            <w:r>
              <w:rPr>
                <w:sz w:val="14"/>
                <w:szCs w:val="14"/>
                <w:rtl w:val="0"/>
                <w:lang w:val="en-US"/>
              </w:rPr>
              <w:t>5</w:t>
            </w:r>
            <w:r>
              <w:rPr>
                <w:sz w:val="14"/>
                <w:szCs w:val="14"/>
                <w:rtl w:val="0"/>
                <w:lang w:val="ru-RU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1</w:t>
            </w:r>
            <w:r>
              <w:rPr>
                <w:sz w:val="14"/>
                <w:szCs w:val="14"/>
                <w:rtl w:val="0"/>
                <w:lang w:val="ru-RU"/>
              </w:rPr>
              <w:t>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2</w:t>
            </w:r>
            <w:r>
              <w:rPr>
                <w:sz w:val="14"/>
                <w:szCs w:val="14"/>
                <w:rtl w:val="0"/>
                <w:lang w:val="en-US"/>
              </w:rPr>
              <w:t>6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07</w:t>
            </w:r>
            <w:r>
              <w:rPr>
                <w:sz w:val="14"/>
                <w:szCs w:val="14"/>
                <w:rtl w:val="0"/>
                <w:lang w:val="ru-RU"/>
              </w:rPr>
              <w:t>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4"/>
                <w:szCs w:val="14"/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2</w:t>
            </w:r>
            <w:r>
              <w:rPr>
                <w:sz w:val="14"/>
                <w:szCs w:val="14"/>
                <w:rtl w:val="0"/>
                <w:lang w:val="en-US"/>
              </w:rPr>
              <w:t>4</w:t>
            </w:r>
            <w:r>
              <w:rPr>
                <w:sz w:val="14"/>
                <w:szCs w:val="14"/>
                <w:rtl w:val="0"/>
                <w:lang w:val="ru-RU"/>
              </w:rPr>
              <w:t>.0</w:t>
            </w:r>
            <w:r>
              <w:rPr>
                <w:sz w:val="14"/>
                <w:szCs w:val="14"/>
                <w:rtl w:val="0"/>
                <w:lang w:val="en-US"/>
              </w:rPr>
              <w:t>1</w:t>
            </w:r>
            <w:r>
              <w:rPr>
                <w:sz w:val="14"/>
                <w:szCs w:val="14"/>
                <w:rtl w:val="0"/>
                <w:lang w:val="ru-RU"/>
              </w:rPr>
              <w:t>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4"/>
                <w:szCs w:val="14"/>
                <w:rtl w:val="0"/>
                <w:lang w:val="ru-RU"/>
              </w:rPr>
              <w:t>2</w:t>
            </w:r>
            <w:r>
              <w:rPr>
                <w:sz w:val="14"/>
                <w:szCs w:val="14"/>
                <w:rtl w:val="0"/>
                <w:lang w:val="en-US"/>
              </w:rPr>
              <w:t>5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  <w:r>
              <w:rPr>
                <w:sz w:val="14"/>
                <w:szCs w:val="14"/>
                <w:rtl w:val="0"/>
                <w:lang w:val="en-US"/>
              </w:rPr>
              <w:t>07</w:t>
            </w:r>
            <w:r>
              <w:rPr>
                <w:sz w:val="14"/>
                <w:szCs w:val="14"/>
                <w:rtl w:val="0"/>
                <w:lang w:val="ru-RU"/>
              </w:rPr>
              <w:t>.2018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Звичайни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left="1643" w:hanging="1643"/>
        <w:jc w:val="center"/>
        <w:rPr>
          <w:color w:val="000000"/>
          <w:sz w:val="22"/>
          <w:szCs w:val="22"/>
          <w:u w:color="000000"/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